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9075" w14:textId="33294A94" w:rsidR="001A3059" w:rsidRDefault="001A3059" w:rsidP="001A305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grassetto"/>
          <w:rFonts w:asciiTheme="minorHAnsi" w:hAnsiTheme="minorHAnsi" w:cstheme="minorHAnsi"/>
          <w:color w:val="1C2024"/>
          <w:sz w:val="23"/>
          <w:szCs w:val="23"/>
        </w:rPr>
      </w:pPr>
      <w:r>
        <w:rPr>
          <w:rStyle w:val="Enfasigrassetto"/>
          <w:rFonts w:asciiTheme="minorHAnsi" w:hAnsiTheme="minorHAnsi" w:cstheme="minorHAnsi"/>
          <w:color w:val="1C2024"/>
          <w:sz w:val="23"/>
          <w:szCs w:val="23"/>
        </w:rPr>
        <w:t>Allegato</w:t>
      </w:r>
    </w:p>
    <w:p w14:paraId="2EB96CC5" w14:textId="1E9A1C1B" w:rsidR="00165CCD" w:rsidRDefault="00165CCD" w:rsidP="004152A5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</w:pPr>
      <w:r w:rsidRPr="004152A5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>Le ATUSS regionali</w:t>
      </w:r>
    </w:p>
    <w:p w14:paraId="1934F314" w14:textId="77777777" w:rsidR="00445079" w:rsidRPr="004152A5" w:rsidRDefault="00445079" w:rsidP="004152A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1C2024"/>
          <w:sz w:val="24"/>
          <w:szCs w:val="24"/>
        </w:rPr>
      </w:pPr>
    </w:p>
    <w:p w14:paraId="1A8E8C92" w14:textId="77777777" w:rsidR="00165CCD" w:rsidRPr="004152A5" w:rsidRDefault="00165CCD" w:rsidP="004152A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1C2024"/>
          <w:sz w:val="24"/>
          <w:szCs w:val="24"/>
        </w:rPr>
      </w:pPr>
      <w:r w:rsidRPr="004152A5">
        <w:rPr>
          <w:rFonts w:asciiTheme="minorHAnsi" w:hAnsiTheme="minorHAnsi" w:cstheme="minorHAnsi"/>
          <w:color w:val="1C2024"/>
          <w:sz w:val="24"/>
          <w:szCs w:val="24"/>
        </w:rPr>
        <w:t xml:space="preserve">Le </w:t>
      </w:r>
      <w:r w:rsidRPr="004152A5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>ATUSS</w:t>
      </w:r>
      <w:r w:rsidRPr="004152A5">
        <w:rPr>
          <w:rFonts w:asciiTheme="minorHAnsi" w:hAnsiTheme="minorHAnsi" w:cstheme="minorHAnsi"/>
          <w:color w:val="1C2024"/>
          <w:sz w:val="24"/>
          <w:szCs w:val="24"/>
        </w:rPr>
        <w:t xml:space="preserve"> coinvolgono le </w:t>
      </w:r>
      <w:r w:rsidRPr="004152A5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>città</w:t>
      </w:r>
      <w:r w:rsidRPr="004152A5">
        <w:rPr>
          <w:rFonts w:asciiTheme="minorHAnsi" w:hAnsiTheme="minorHAnsi" w:cstheme="minorHAnsi"/>
          <w:color w:val="1C2024"/>
          <w:sz w:val="24"/>
          <w:szCs w:val="24"/>
        </w:rPr>
        <w:t xml:space="preserve"> e i </w:t>
      </w:r>
      <w:r w:rsidRPr="004152A5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 xml:space="preserve">sistemi territoriali urbani e intermedi, </w:t>
      </w:r>
      <w:r w:rsidRPr="004152A5">
        <w:rPr>
          <w:rFonts w:asciiTheme="minorHAnsi" w:hAnsiTheme="minorHAnsi" w:cstheme="minorHAnsi"/>
          <w:color w:val="1C2024"/>
          <w:sz w:val="24"/>
          <w:szCs w:val="24"/>
        </w:rPr>
        <w:t xml:space="preserve">comprese le </w:t>
      </w:r>
      <w:r w:rsidRPr="004152A5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 xml:space="preserve">Unioni di Comuni </w:t>
      </w:r>
      <w:r w:rsidRPr="004152A5">
        <w:rPr>
          <w:rFonts w:asciiTheme="minorHAnsi" w:hAnsiTheme="minorHAnsi" w:cstheme="minorHAnsi"/>
          <w:color w:val="1C2024"/>
          <w:sz w:val="24"/>
          <w:szCs w:val="24"/>
        </w:rPr>
        <w:t xml:space="preserve">con popolazione superiore ai </w:t>
      </w:r>
      <w:r w:rsidRPr="004152A5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>50mila abitanti</w:t>
      </w:r>
      <w:r w:rsidRPr="004152A5">
        <w:rPr>
          <w:rFonts w:asciiTheme="minorHAnsi" w:hAnsiTheme="minorHAnsi" w:cstheme="minorHAnsi"/>
          <w:color w:val="1C2024"/>
          <w:sz w:val="24"/>
          <w:szCs w:val="24"/>
        </w:rPr>
        <w:t xml:space="preserve"> e in possesso di determinati requisiti. Tra questi, nel caso delle Unioni di comuni, una sufficiente grado di maturità istituzionale e gestione associata delle funzioni più strettamente connesse all’elaborazione e attuazione di programmazioni strategiche. In tutto, le ATUSS sono </w:t>
      </w:r>
      <w:r w:rsidRPr="004152A5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>14</w:t>
      </w:r>
      <w:r w:rsidRPr="004152A5">
        <w:rPr>
          <w:rFonts w:asciiTheme="minorHAnsi" w:hAnsiTheme="minorHAnsi" w:cstheme="minorHAnsi"/>
          <w:color w:val="1C2024"/>
          <w:sz w:val="24"/>
          <w:szCs w:val="24"/>
        </w:rPr>
        <w:t>: Piacenza, Parma, Reggio Emilia, Modena, Bologna, Ferrara, Forlì, Ravenna, Rimini, Cesena (con Mercato Saraceno, Montiano e Sarsina), Nuovo Circondario Imolese, Unione Terre d’Argine, Unione Bassa Romagna, Unione Romagna Faentina.</w:t>
      </w:r>
    </w:p>
    <w:p w14:paraId="69B3900F" w14:textId="77777777" w:rsidR="00165CCD" w:rsidRPr="004152A5" w:rsidRDefault="00165CCD" w:rsidP="004152A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1C2024"/>
          <w:sz w:val="24"/>
          <w:szCs w:val="24"/>
        </w:rPr>
      </w:pPr>
      <w:r w:rsidRPr="004152A5">
        <w:rPr>
          <w:rFonts w:asciiTheme="minorHAnsi" w:hAnsiTheme="minorHAnsi" w:cstheme="minorHAnsi"/>
          <w:color w:val="1C2024"/>
          <w:sz w:val="24"/>
          <w:szCs w:val="24"/>
        </w:rPr>
        <w:t xml:space="preserve">Ad esse si affiancano, con strategie diverse perché diverse sono le aree e le esigenze, le </w:t>
      </w:r>
      <w:r w:rsidRPr="004152A5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>Strategie Territoriali Integrate per le Aree Montane e Interne (STAMI),</w:t>
      </w:r>
      <w:r w:rsidRPr="004152A5">
        <w:rPr>
          <w:rFonts w:asciiTheme="minorHAnsi" w:hAnsiTheme="minorHAnsi" w:cstheme="minorHAnsi"/>
          <w:color w:val="1C2024"/>
          <w:sz w:val="24"/>
          <w:szCs w:val="24"/>
        </w:rPr>
        <w:t xml:space="preserve"> che invece coinvolgono le aree e i territori più fragili e periferici dell’Emilia-Romagna, cioè gli </w:t>
      </w:r>
      <w:r w:rsidRPr="004152A5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>Appennini</w:t>
      </w:r>
      <w:r w:rsidRPr="004152A5">
        <w:rPr>
          <w:rFonts w:asciiTheme="minorHAnsi" w:hAnsiTheme="minorHAnsi" w:cstheme="minorHAnsi"/>
          <w:color w:val="1C2024"/>
          <w:sz w:val="24"/>
          <w:szCs w:val="24"/>
        </w:rPr>
        <w:t xml:space="preserve"> e il </w:t>
      </w:r>
      <w:r w:rsidRPr="004152A5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>Basso Ferrarese</w:t>
      </w:r>
      <w:r w:rsidRPr="004152A5">
        <w:rPr>
          <w:rFonts w:asciiTheme="minorHAnsi" w:hAnsiTheme="minorHAnsi" w:cstheme="minorHAnsi"/>
          <w:color w:val="1C2024"/>
          <w:sz w:val="24"/>
          <w:szCs w:val="24"/>
        </w:rPr>
        <w:t>. Obiettivo di queste ultime è contrastare i divari territoriali, garantendo ovunque opportunità e servizi di prossimità, valorizzando identità e potenzialità dei singoli territori e dei singoli luoghi per attivare nuovi processi di sviluppo. Anche per le STAMI è previsto un percorso di investimenti, con un’assistenza tecnica dedicata che in queste realtà può rivelarsi decisiva.  </w:t>
      </w:r>
    </w:p>
    <w:p w14:paraId="32FF1DD9" w14:textId="77777777" w:rsidR="004152A5" w:rsidRDefault="004152A5" w:rsidP="004152A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1C2024"/>
          <w:sz w:val="24"/>
          <w:szCs w:val="24"/>
        </w:rPr>
      </w:pPr>
    </w:p>
    <w:p w14:paraId="6FE1738A" w14:textId="0CF9BA42" w:rsidR="00165CCD" w:rsidRDefault="000E2A42" w:rsidP="004152A5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strike/>
          <w:color w:val="1C2024"/>
          <w:sz w:val="24"/>
          <w:szCs w:val="24"/>
        </w:rPr>
      </w:pPr>
      <w:r w:rsidRPr="004152A5">
        <w:rPr>
          <w:rFonts w:asciiTheme="minorHAnsi" w:hAnsiTheme="minorHAnsi" w:cstheme="minorHAnsi"/>
          <w:color w:val="1C2024"/>
          <w:sz w:val="24"/>
          <w:szCs w:val="24"/>
        </w:rPr>
        <w:t>U</w:t>
      </w:r>
      <w:r w:rsidR="00165CCD" w:rsidRPr="004152A5">
        <w:rPr>
          <w:rFonts w:asciiTheme="minorHAnsi" w:hAnsiTheme="minorHAnsi" w:cstheme="minorHAnsi"/>
          <w:color w:val="1C2024"/>
          <w:sz w:val="24"/>
          <w:szCs w:val="24"/>
        </w:rPr>
        <w:t xml:space="preserve">na delle peculiarità delle strategie ATUSS è la possibilità di programmare in modo diretto e integrato i fondi strutturali europei, a partire da </w:t>
      </w:r>
      <w:r w:rsidR="00165CCD" w:rsidRPr="004152A5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 xml:space="preserve">FESR </w:t>
      </w:r>
      <w:r w:rsidR="00165CCD" w:rsidRPr="004152A5">
        <w:rPr>
          <w:rFonts w:asciiTheme="minorHAnsi" w:hAnsiTheme="minorHAnsi" w:cstheme="minorHAnsi"/>
          <w:color w:val="1C2024"/>
          <w:sz w:val="24"/>
          <w:szCs w:val="24"/>
        </w:rPr>
        <w:t>(Fondo Europeo di Sviluppo Regionale) e </w:t>
      </w:r>
      <w:r w:rsidR="00165CCD" w:rsidRPr="004152A5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>FSE+</w:t>
      </w:r>
      <w:r w:rsidR="00165CCD" w:rsidRPr="004152A5">
        <w:rPr>
          <w:rFonts w:asciiTheme="minorHAnsi" w:hAnsiTheme="minorHAnsi" w:cstheme="minorHAnsi"/>
          <w:color w:val="1C2024"/>
          <w:sz w:val="24"/>
          <w:szCs w:val="24"/>
        </w:rPr>
        <w:t xml:space="preserve"> (Fondo Sociale Europeo Plus). Risorse da coordinare e ottimizzare anche per massimizzare gli effetti degli investimenti del PNRR.</w:t>
      </w:r>
      <w:r w:rsidR="000121B1" w:rsidRPr="004152A5">
        <w:rPr>
          <w:rFonts w:asciiTheme="minorHAnsi" w:hAnsiTheme="minorHAnsi" w:cstheme="minorHAnsi"/>
          <w:color w:val="1C2024"/>
          <w:sz w:val="24"/>
          <w:szCs w:val="24"/>
        </w:rPr>
        <w:t xml:space="preserve"> </w:t>
      </w:r>
    </w:p>
    <w:p w14:paraId="22F42B07" w14:textId="77777777" w:rsidR="0072780C" w:rsidRPr="00E93155" w:rsidRDefault="0072780C" w:rsidP="00792D37">
      <w:pPr>
        <w:pStyle w:val="NormaleWeb"/>
        <w:jc w:val="both"/>
        <w:rPr>
          <w:rFonts w:asciiTheme="minorHAnsi" w:hAnsiTheme="minorHAnsi" w:cstheme="minorHAnsi"/>
          <w:sz w:val="23"/>
          <w:szCs w:val="23"/>
        </w:rPr>
      </w:pPr>
      <w:r w:rsidRPr="00E93155">
        <w:rPr>
          <w:rFonts w:asciiTheme="minorHAnsi" w:hAnsiTheme="minorHAnsi" w:cstheme="minorHAnsi"/>
          <w:sz w:val="23"/>
          <w:szCs w:val="23"/>
        </w:rPr>
        <w:t xml:space="preserve">Complessivamente sono a disposizione risorse per </w:t>
      </w:r>
      <w:r w:rsidRPr="00E93155">
        <w:rPr>
          <w:rStyle w:val="Enfasigrassetto"/>
          <w:rFonts w:asciiTheme="minorHAnsi" w:hAnsiTheme="minorHAnsi" w:cstheme="minorHAnsi"/>
          <w:sz w:val="23"/>
          <w:szCs w:val="23"/>
        </w:rPr>
        <w:t>114,5 milioni di euro</w:t>
      </w:r>
      <w:r w:rsidRPr="00E93155">
        <w:rPr>
          <w:rFonts w:asciiTheme="minorHAnsi" w:hAnsiTheme="minorHAnsi" w:cstheme="minorHAnsi"/>
          <w:sz w:val="23"/>
          <w:szCs w:val="23"/>
        </w:rPr>
        <w:t xml:space="preserve"> grazie alla programmazione dei fondi europei </w:t>
      </w:r>
      <w:r w:rsidRPr="00E93155">
        <w:rPr>
          <w:rStyle w:val="Enfasigrassetto"/>
          <w:rFonts w:asciiTheme="minorHAnsi" w:hAnsiTheme="minorHAnsi" w:cstheme="minorHAnsi"/>
          <w:sz w:val="23"/>
          <w:szCs w:val="23"/>
        </w:rPr>
        <w:t xml:space="preserve">FESR </w:t>
      </w:r>
      <w:r w:rsidRPr="00E93155">
        <w:rPr>
          <w:rFonts w:asciiTheme="minorHAnsi" w:hAnsiTheme="minorHAnsi" w:cstheme="minorHAnsi"/>
          <w:sz w:val="23"/>
          <w:szCs w:val="23"/>
        </w:rPr>
        <w:t xml:space="preserve">(Fondo Europeo di Sviluppo Regionale) e </w:t>
      </w:r>
      <w:r w:rsidRPr="00E93155">
        <w:rPr>
          <w:rStyle w:val="Enfasigrassetto"/>
          <w:rFonts w:asciiTheme="minorHAnsi" w:hAnsiTheme="minorHAnsi" w:cstheme="minorHAnsi"/>
          <w:sz w:val="23"/>
          <w:szCs w:val="23"/>
        </w:rPr>
        <w:t xml:space="preserve">FSE+ </w:t>
      </w:r>
      <w:r w:rsidRPr="00E93155">
        <w:rPr>
          <w:rFonts w:asciiTheme="minorHAnsi" w:hAnsiTheme="minorHAnsi" w:cstheme="minorHAnsi"/>
          <w:sz w:val="23"/>
          <w:szCs w:val="23"/>
        </w:rPr>
        <w:t xml:space="preserve">(Fondo Sociale Europeo Plus) 2021-2027 che, considerando i cofinanziamenti locali, mobiliteranno </w:t>
      </w:r>
      <w:r w:rsidRPr="00E93155">
        <w:rPr>
          <w:rStyle w:val="Enfasigrassetto"/>
          <w:rFonts w:asciiTheme="minorHAnsi" w:hAnsiTheme="minorHAnsi" w:cstheme="minorHAnsi"/>
          <w:sz w:val="23"/>
          <w:szCs w:val="23"/>
        </w:rPr>
        <w:t>investimenti per</w:t>
      </w:r>
      <w:r w:rsidRPr="00E93155">
        <w:rPr>
          <w:rFonts w:asciiTheme="minorHAnsi" w:hAnsiTheme="minorHAnsi" w:cstheme="minorHAnsi"/>
          <w:sz w:val="23"/>
          <w:szCs w:val="23"/>
        </w:rPr>
        <w:t xml:space="preserve"> oltre </w:t>
      </w:r>
      <w:r w:rsidRPr="00E93155">
        <w:rPr>
          <w:rStyle w:val="Enfasigrassetto"/>
          <w:rFonts w:asciiTheme="minorHAnsi" w:hAnsiTheme="minorHAnsi" w:cstheme="minorHAnsi"/>
          <w:sz w:val="23"/>
          <w:szCs w:val="23"/>
        </w:rPr>
        <w:t>164 milioni</w:t>
      </w:r>
      <w:r w:rsidRPr="00E93155">
        <w:rPr>
          <w:rFonts w:asciiTheme="minorHAnsi" w:hAnsiTheme="minorHAnsi" w:cstheme="minorHAnsi"/>
          <w:sz w:val="23"/>
          <w:szCs w:val="23"/>
        </w:rPr>
        <w:t>.</w:t>
      </w:r>
    </w:p>
    <w:p w14:paraId="0C96E827" w14:textId="24E669C8" w:rsidR="0072780C" w:rsidRPr="00E93155" w:rsidRDefault="0072780C" w:rsidP="00792D37">
      <w:pPr>
        <w:pStyle w:val="NormaleWeb"/>
        <w:jc w:val="both"/>
        <w:rPr>
          <w:rFonts w:asciiTheme="minorHAnsi" w:hAnsiTheme="minorHAnsi" w:cstheme="minorHAnsi"/>
          <w:sz w:val="23"/>
          <w:szCs w:val="23"/>
        </w:rPr>
      </w:pPr>
      <w:r w:rsidRPr="00E93155">
        <w:rPr>
          <w:rFonts w:asciiTheme="minorHAnsi" w:hAnsiTheme="minorHAnsi" w:cstheme="minorHAnsi"/>
          <w:sz w:val="23"/>
          <w:szCs w:val="23"/>
        </w:rPr>
        <w:t xml:space="preserve">Nelle loro strategie, Comuni e Unioni hanno presentato </w:t>
      </w:r>
      <w:r w:rsidRPr="00E93155">
        <w:rPr>
          <w:rFonts w:asciiTheme="minorHAnsi" w:hAnsiTheme="minorHAnsi" w:cstheme="minorHAnsi"/>
          <w:b/>
          <w:bCs/>
          <w:sz w:val="23"/>
          <w:szCs w:val="23"/>
        </w:rPr>
        <w:t>109 proposte</w:t>
      </w:r>
      <w:r w:rsidRPr="00E93155">
        <w:rPr>
          <w:rFonts w:asciiTheme="minorHAnsi" w:hAnsiTheme="minorHAnsi" w:cstheme="minorHAnsi"/>
          <w:sz w:val="23"/>
          <w:szCs w:val="23"/>
        </w:rPr>
        <w:t xml:space="preserve">: 14 riguardano le </w:t>
      </w:r>
      <w:r w:rsidRPr="00E93155">
        <w:rPr>
          <w:rFonts w:asciiTheme="minorHAnsi" w:hAnsiTheme="minorHAnsi" w:cstheme="minorHAnsi"/>
          <w:b/>
          <w:bCs/>
          <w:sz w:val="23"/>
          <w:szCs w:val="23"/>
        </w:rPr>
        <w:t>comunità digitali</w:t>
      </w:r>
      <w:r w:rsidRPr="00E93155">
        <w:rPr>
          <w:rFonts w:asciiTheme="minorHAnsi" w:hAnsiTheme="minorHAnsi" w:cstheme="minorHAnsi"/>
          <w:sz w:val="23"/>
          <w:szCs w:val="23"/>
        </w:rPr>
        <w:t xml:space="preserve">, 25 le </w:t>
      </w:r>
      <w:r w:rsidRPr="00E93155">
        <w:rPr>
          <w:rFonts w:asciiTheme="minorHAnsi" w:hAnsiTheme="minorHAnsi" w:cstheme="minorHAnsi"/>
          <w:b/>
          <w:bCs/>
          <w:sz w:val="23"/>
          <w:szCs w:val="23"/>
        </w:rPr>
        <w:t xml:space="preserve">infrastrutture verdi </w:t>
      </w:r>
      <w:r w:rsidRPr="00E93155">
        <w:rPr>
          <w:rFonts w:asciiTheme="minorHAnsi" w:hAnsiTheme="minorHAnsi" w:cstheme="minorHAnsi"/>
          <w:sz w:val="23"/>
          <w:szCs w:val="23"/>
        </w:rPr>
        <w:t xml:space="preserve">e </w:t>
      </w:r>
      <w:r w:rsidRPr="00E93155">
        <w:rPr>
          <w:rFonts w:asciiTheme="minorHAnsi" w:hAnsiTheme="minorHAnsi" w:cstheme="minorHAnsi"/>
          <w:b/>
          <w:bCs/>
          <w:sz w:val="23"/>
          <w:szCs w:val="23"/>
        </w:rPr>
        <w:t>l’energia rinnovabile</w:t>
      </w:r>
      <w:r w:rsidRPr="00E93155">
        <w:rPr>
          <w:rFonts w:asciiTheme="minorHAnsi" w:hAnsiTheme="minorHAnsi" w:cstheme="minorHAnsi"/>
          <w:sz w:val="23"/>
          <w:szCs w:val="23"/>
        </w:rPr>
        <w:t xml:space="preserve">, 52 la </w:t>
      </w:r>
      <w:r w:rsidRPr="00E93155">
        <w:rPr>
          <w:rFonts w:asciiTheme="minorHAnsi" w:hAnsiTheme="minorHAnsi" w:cstheme="minorHAnsi"/>
          <w:b/>
          <w:bCs/>
          <w:sz w:val="23"/>
          <w:szCs w:val="23"/>
        </w:rPr>
        <w:t>rigenerazione urbana</w:t>
      </w:r>
      <w:r w:rsidRPr="00E93155">
        <w:rPr>
          <w:rFonts w:asciiTheme="minorHAnsi" w:hAnsiTheme="minorHAnsi" w:cstheme="minorHAnsi"/>
          <w:sz w:val="23"/>
          <w:szCs w:val="23"/>
        </w:rPr>
        <w:t xml:space="preserve">, i </w:t>
      </w:r>
      <w:r w:rsidRPr="00E93155">
        <w:rPr>
          <w:rFonts w:asciiTheme="minorHAnsi" w:hAnsiTheme="minorHAnsi" w:cstheme="minorHAnsi"/>
          <w:b/>
          <w:bCs/>
          <w:sz w:val="23"/>
          <w:szCs w:val="23"/>
        </w:rPr>
        <w:t>percorsi cicloturistici</w:t>
      </w:r>
      <w:r w:rsidRPr="00E93155">
        <w:rPr>
          <w:rFonts w:asciiTheme="minorHAnsi" w:hAnsiTheme="minorHAnsi" w:cstheme="minorHAnsi"/>
          <w:sz w:val="23"/>
          <w:szCs w:val="23"/>
        </w:rPr>
        <w:t xml:space="preserve">, la </w:t>
      </w:r>
      <w:r w:rsidRPr="00E93155">
        <w:rPr>
          <w:rFonts w:asciiTheme="minorHAnsi" w:hAnsiTheme="minorHAnsi" w:cstheme="minorHAnsi"/>
          <w:b/>
          <w:bCs/>
          <w:sz w:val="23"/>
          <w:szCs w:val="23"/>
        </w:rPr>
        <w:t>cultura</w:t>
      </w:r>
      <w:r w:rsidRPr="00E93155">
        <w:rPr>
          <w:rFonts w:asciiTheme="minorHAnsi" w:hAnsiTheme="minorHAnsi" w:cstheme="minorHAnsi"/>
          <w:sz w:val="23"/>
          <w:szCs w:val="23"/>
        </w:rPr>
        <w:t xml:space="preserve">, 18 </w:t>
      </w:r>
      <w:r w:rsidRPr="00E93155">
        <w:rPr>
          <w:rFonts w:asciiTheme="minorHAnsi" w:hAnsiTheme="minorHAnsi" w:cstheme="minorHAnsi"/>
          <w:b/>
          <w:bCs/>
          <w:sz w:val="23"/>
          <w:szCs w:val="23"/>
        </w:rPr>
        <w:t xml:space="preserve">l’inclusione sociale </w:t>
      </w:r>
      <w:r w:rsidRPr="00E93155">
        <w:rPr>
          <w:rFonts w:asciiTheme="minorHAnsi" w:hAnsiTheme="minorHAnsi" w:cstheme="minorHAnsi"/>
          <w:sz w:val="23"/>
          <w:szCs w:val="23"/>
        </w:rPr>
        <w:t xml:space="preserve">e </w:t>
      </w:r>
      <w:r w:rsidRPr="00E93155">
        <w:rPr>
          <w:rFonts w:asciiTheme="minorHAnsi" w:hAnsiTheme="minorHAnsi" w:cstheme="minorHAnsi"/>
          <w:b/>
          <w:bCs/>
          <w:sz w:val="23"/>
          <w:szCs w:val="23"/>
        </w:rPr>
        <w:t>l’orientamento dei giovani</w:t>
      </w:r>
      <w:r w:rsidRPr="00E93155">
        <w:rPr>
          <w:rFonts w:asciiTheme="minorHAnsi" w:hAnsiTheme="minorHAnsi" w:cstheme="minorHAnsi"/>
          <w:sz w:val="23"/>
          <w:szCs w:val="23"/>
        </w:rPr>
        <w:t>.</w:t>
      </w:r>
    </w:p>
    <w:p w14:paraId="371A74D0" w14:textId="5404E595" w:rsidR="00165CCD" w:rsidRPr="004152A5" w:rsidRDefault="00165CCD" w:rsidP="00792D3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1C2024"/>
          <w:sz w:val="24"/>
          <w:szCs w:val="24"/>
        </w:rPr>
      </w:pPr>
      <w:r w:rsidRPr="004152A5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 xml:space="preserve">Le </w:t>
      </w:r>
      <w:r w:rsidR="00044870" w:rsidRPr="004152A5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 xml:space="preserve">14 </w:t>
      </w:r>
      <w:r w:rsidRPr="004152A5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 xml:space="preserve">strategie </w:t>
      </w:r>
      <w:r w:rsidR="00044870" w:rsidRPr="004152A5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 xml:space="preserve">sono </w:t>
      </w:r>
      <w:r w:rsidRPr="004152A5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 xml:space="preserve">già </w:t>
      </w:r>
      <w:r w:rsidR="00044870" w:rsidRPr="004152A5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 xml:space="preserve">stare </w:t>
      </w:r>
      <w:r w:rsidRPr="004152A5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>approvate dalla Regione</w:t>
      </w:r>
      <w:r w:rsidR="00044870" w:rsidRPr="004152A5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 xml:space="preserve">. </w:t>
      </w:r>
      <w:r w:rsidR="00044870" w:rsidRPr="004152A5">
        <w:rPr>
          <w:rStyle w:val="Enfasigrassetto"/>
          <w:rFonts w:asciiTheme="minorHAnsi" w:hAnsiTheme="minorHAnsi" w:cstheme="minorHAnsi"/>
          <w:b w:val="0"/>
          <w:bCs w:val="0"/>
          <w:color w:val="1C2024"/>
          <w:sz w:val="24"/>
          <w:szCs w:val="24"/>
        </w:rPr>
        <w:t xml:space="preserve">Sono </w:t>
      </w:r>
      <w:r w:rsidR="004152A5">
        <w:rPr>
          <w:rStyle w:val="Enfasigrassetto"/>
          <w:rFonts w:asciiTheme="minorHAnsi" w:hAnsiTheme="minorHAnsi" w:cstheme="minorHAnsi"/>
          <w:b w:val="0"/>
          <w:bCs w:val="0"/>
          <w:color w:val="1C2024"/>
          <w:sz w:val="24"/>
          <w:szCs w:val="24"/>
        </w:rPr>
        <w:t>già</w:t>
      </w:r>
      <w:r w:rsidR="00044870" w:rsidRPr="004152A5">
        <w:rPr>
          <w:rStyle w:val="Enfasigrassetto"/>
          <w:rFonts w:asciiTheme="minorHAnsi" w:hAnsiTheme="minorHAnsi" w:cstheme="minorHAnsi"/>
          <w:b w:val="0"/>
          <w:bCs w:val="0"/>
          <w:color w:val="1C2024"/>
          <w:sz w:val="24"/>
          <w:szCs w:val="24"/>
        </w:rPr>
        <w:t xml:space="preserve"> state presentate alla cittadinanza </w:t>
      </w:r>
      <w:r w:rsidRPr="00E93155">
        <w:rPr>
          <w:rFonts w:asciiTheme="minorHAnsi" w:hAnsiTheme="minorHAnsi" w:cstheme="minorHAnsi"/>
          <w:sz w:val="24"/>
          <w:szCs w:val="24"/>
        </w:rPr>
        <w:t xml:space="preserve">quelle di </w:t>
      </w:r>
      <w:r w:rsidRPr="00E93155">
        <w:rPr>
          <w:rStyle w:val="Enfasigrassetto"/>
          <w:rFonts w:asciiTheme="minorHAnsi" w:hAnsiTheme="minorHAnsi" w:cstheme="minorHAnsi"/>
          <w:sz w:val="24"/>
          <w:szCs w:val="24"/>
        </w:rPr>
        <w:t xml:space="preserve">Modena, </w:t>
      </w:r>
      <w:r w:rsidRPr="00E93155">
        <w:rPr>
          <w:rFonts w:asciiTheme="minorHAnsi" w:hAnsiTheme="minorHAnsi" w:cstheme="minorHAnsi"/>
          <w:b/>
          <w:bCs/>
          <w:sz w:val="24"/>
          <w:szCs w:val="24"/>
        </w:rPr>
        <w:t>Unione Terre d'Argine,</w:t>
      </w:r>
      <w:r w:rsidRPr="00E93155">
        <w:rPr>
          <w:rFonts w:asciiTheme="minorHAnsi" w:hAnsiTheme="minorHAnsi" w:cstheme="minorHAnsi"/>
          <w:sz w:val="24"/>
          <w:szCs w:val="24"/>
        </w:rPr>
        <w:t xml:space="preserve"> </w:t>
      </w:r>
      <w:r w:rsidRPr="00E93155">
        <w:rPr>
          <w:rFonts w:asciiTheme="minorHAnsi" w:hAnsiTheme="minorHAnsi" w:cstheme="minorHAnsi"/>
          <w:b/>
          <w:bCs/>
          <w:sz w:val="24"/>
          <w:szCs w:val="24"/>
        </w:rPr>
        <w:t xml:space="preserve">Piacenza, </w:t>
      </w:r>
      <w:r w:rsidR="0064434D" w:rsidRPr="00E93155">
        <w:rPr>
          <w:rFonts w:asciiTheme="minorHAnsi" w:hAnsiTheme="minorHAnsi" w:cstheme="minorHAnsi"/>
          <w:b/>
          <w:bCs/>
          <w:sz w:val="24"/>
          <w:szCs w:val="24"/>
        </w:rPr>
        <w:t>Rimini</w:t>
      </w:r>
      <w:r w:rsidR="00E93155">
        <w:rPr>
          <w:rFonts w:asciiTheme="minorHAnsi" w:hAnsiTheme="minorHAnsi" w:cstheme="minorHAnsi"/>
          <w:b/>
          <w:bCs/>
          <w:sz w:val="24"/>
          <w:szCs w:val="24"/>
        </w:rPr>
        <w:t>, Parma</w:t>
      </w:r>
      <w:r w:rsidRPr="00E9315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93155">
        <w:rPr>
          <w:rFonts w:asciiTheme="minorHAnsi" w:hAnsiTheme="minorHAnsi" w:cstheme="minorHAnsi"/>
          <w:sz w:val="24"/>
          <w:szCs w:val="24"/>
        </w:rPr>
        <w:t xml:space="preserve">e appunto </w:t>
      </w:r>
      <w:r w:rsidRPr="00E93155">
        <w:rPr>
          <w:rFonts w:asciiTheme="minorHAnsi" w:hAnsiTheme="minorHAnsi" w:cstheme="minorHAnsi"/>
          <w:b/>
          <w:bCs/>
          <w:sz w:val="24"/>
          <w:szCs w:val="24"/>
        </w:rPr>
        <w:t>Ferrara</w:t>
      </w:r>
      <w:r w:rsidRPr="00E93155">
        <w:rPr>
          <w:rFonts w:asciiTheme="minorHAnsi" w:hAnsiTheme="minorHAnsi" w:cstheme="minorHAnsi"/>
          <w:sz w:val="24"/>
          <w:szCs w:val="24"/>
        </w:rPr>
        <w:t>.</w:t>
      </w:r>
    </w:p>
    <w:p w14:paraId="5A4B8ACF" w14:textId="77777777" w:rsidR="004152A5" w:rsidRDefault="004152A5" w:rsidP="004152A5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72832D1" w14:textId="77777777" w:rsidR="00445079" w:rsidRDefault="00445079" w:rsidP="00601E7F">
      <w:pPr>
        <w:adjustRightInd w:val="0"/>
        <w:spacing w:line="240" w:lineRule="auto"/>
        <w:jc w:val="both"/>
        <w:rPr>
          <w:rFonts w:eastAsia="Times New Roman" w:cstheme="minorHAnsi"/>
          <w:b/>
          <w:bCs/>
          <w:color w:val="1C2024"/>
          <w:kern w:val="0"/>
          <w:sz w:val="24"/>
          <w:szCs w:val="24"/>
          <w:lang w:eastAsia="it-IT"/>
          <w14:ligatures w14:val="none"/>
        </w:rPr>
      </w:pPr>
    </w:p>
    <w:p w14:paraId="11E529C4" w14:textId="1F5E13BE" w:rsidR="00601E7F" w:rsidRPr="00601E7F" w:rsidRDefault="00601E7F" w:rsidP="00601E7F">
      <w:pPr>
        <w:adjustRightInd w:val="0"/>
        <w:spacing w:line="240" w:lineRule="auto"/>
        <w:jc w:val="both"/>
        <w:rPr>
          <w:rFonts w:eastAsia="Times New Roman" w:cstheme="minorHAnsi"/>
          <w:b/>
          <w:bCs/>
          <w:color w:val="1C2024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b/>
          <w:bCs/>
          <w:color w:val="1C2024"/>
          <w:kern w:val="0"/>
          <w:sz w:val="24"/>
          <w:szCs w:val="24"/>
          <w:lang w:eastAsia="it-IT"/>
          <w14:ligatures w14:val="none"/>
        </w:rPr>
        <w:t>Gli o</w:t>
      </w:r>
      <w:r w:rsidRPr="00601E7F">
        <w:rPr>
          <w:rFonts w:eastAsia="Times New Roman" w:cstheme="minorHAnsi"/>
          <w:b/>
          <w:bCs/>
          <w:color w:val="1C2024"/>
          <w:kern w:val="0"/>
          <w:sz w:val="24"/>
          <w:szCs w:val="24"/>
          <w:lang w:eastAsia="it-IT"/>
          <w14:ligatures w14:val="none"/>
        </w:rPr>
        <w:t xml:space="preserve">biettivi della strategia </w:t>
      </w:r>
      <w:proofErr w:type="spellStart"/>
      <w:r w:rsidRPr="00601E7F">
        <w:rPr>
          <w:rFonts w:eastAsia="Times New Roman" w:cstheme="minorHAnsi"/>
          <w:b/>
          <w:bCs/>
          <w:color w:val="1C2024"/>
          <w:kern w:val="0"/>
          <w:sz w:val="24"/>
          <w:szCs w:val="24"/>
          <w:lang w:eastAsia="it-IT"/>
          <w14:ligatures w14:val="none"/>
        </w:rPr>
        <w:t>Atuss</w:t>
      </w:r>
      <w:proofErr w:type="spellEnd"/>
      <w:r w:rsidRPr="00601E7F">
        <w:rPr>
          <w:rFonts w:eastAsia="Times New Roman" w:cstheme="minorHAnsi"/>
          <w:b/>
          <w:bCs/>
          <w:color w:val="1C2024"/>
          <w:kern w:val="0"/>
          <w:sz w:val="24"/>
          <w:szCs w:val="24"/>
          <w:lang w:eastAsia="it-IT"/>
          <w14:ligatures w14:val="none"/>
        </w:rPr>
        <w:t xml:space="preserve"> del Comune di Parma</w:t>
      </w:r>
    </w:p>
    <w:p w14:paraId="1F80053E" w14:textId="77777777" w:rsidR="00601E7F" w:rsidRPr="00601E7F" w:rsidRDefault="00601E7F" w:rsidP="00601E7F">
      <w:pPr>
        <w:adjustRightInd w:val="0"/>
        <w:spacing w:line="240" w:lineRule="auto"/>
        <w:jc w:val="both"/>
        <w:rPr>
          <w:rFonts w:eastAsia="Times New Roman" w:cstheme="minorHAnsi"/>
          <w:color w:val="1C2024"/>
          <w:kern w:val="0"/>
          <w:sz w:val="24"/>
          <w:szCs w:val="24"/>
          <w:lang w:eastAsia="it-IT"/>
          <w14:ligatures w14:val="none"/>
        </w:rPr>
      </w:pPr>
      <w:r w:rsidRPr="00601E7F">
        <w:rPr>
          <w:rFonts w:eastAsia="Times New Roman" w:cstheme="minorHAnsi"/>
          <w:color w:val="1C2024"/>
          <w:kern w:val="0"/>
          <w:sz w:val="24"/>
          <w:szCs w:val="24"/>
          <w:lang w:eastAsia="it-IT"/>
          <w14:ligatures w14:val="none"/>
        </w:rPr>
        <w:t xml:space="preserve">Integrazione sociale, valorizzazione culturale e </w:t>
      </w:r>
      <w:r w:rsidRPr="00601E7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sviluppo economico, coniugati al</w:t>
      </w:r>
      <w:r w:rsidRPr="00601E7F">
        <w:rPr>
          <w:rFonts w:eastAsia="Times New Roman" w:cstheme="minorHAnsi"/>
          <w:color w:val="1C2024"/>
          <w:kern w:val="0"/>
          <w:sz w:val="24"/>
          <w:szCs w:val="24"/>
          <w:lang w:eastAsia="it-IT"/>
          <w14:ligatures w14:val="none"/>
        </w:rPr>
        <w:t>la necessità di un basso impatto ambientale, sono alla base della strategia del Comune di Parma per la nuova visione di Città.</w:t>
      </w:r>
    </w:p>
    <w:p w14:paraId="0D55E87A" w14:textId="57B50FC3" w:rsidR="00601E7F" w:rsidRPr="00601E7F" w:rsidRDefault="00601E7F" w:rsidP="00601E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trike/>
          <w:color w:val="1C2024"/>
          <w:kern w:val="0"/>
          <w:sz w:val="24"/>
          <w:szCs w:val="24"/>
          <w:lang w:eastAsia="it-IT"/>
          <w14:ligatures w14:val="none"/>
        </w:rPr>
      </w:pPr>
      <w:r w:rsidRPr="00601E7F">
        <w:rPr>
          <w:rFonts w:eastAsia="Times New Roman" w:cstheme="minorHAnsi"/>
          <w:b/>
          <w:bCs/>
          <w:color w:val="1C2024"/>
          <w:kern w:val="0"/>
          <w:sz w:val="24"/>
          <w:szCs w:val="24"/>
          <w:lang w:eastAsia="it-IT"/>
          <w14:ligatures w14:val="none"/>
        </w:rPr>
        <w:t>Quattro le aree di intervento</w:t>
      </w:r>
      <w:r w:rsidRPr="00601E7F">
        <w:rPr>
          <w:rFonts w:eastAsia="Times New Roman" w:cstheme="minorHAnsi"/>
          <w:color w:val="1C2024"/>
          <w:kern w:val="0"/>
          <w:sz w:val="24"/>
          <w:szCs w:val="24"/>
          <w:lang w:eastAsia="it-IT"/>
          <w14:ligatures w14:val="none"/>
        </w:rPr>
        <w:t xml:space="preserve">. La prima </w:t>
      </w:r>
      <w:r w:rsidRPr="00601E7F">
        <w:rPr>
          <w:rFonts w:eastAsia="Times New Roman" w:cstheme="minorHAnsi"/>
          <w:b/>
          <w:bCs/>
          <w:color w:val="1C2024"/>
          <w:kern w:val="0"/>
          <w:sz w:val="24"/>
          <w:szCs w:val="24"/>
          <w:lang w:eastAsia="it-IT"/>
          <w14:ligatures w14:val="none"/>
        </w:rPr>
        <w:t>una città sicura</w:t>
      </w:r>
      <w:r w:rsidRPr="00601E7F">
        <w:rPr>
          <w:rFonts w:eastAsia="Times New Roman" w:cstheme="minorHAnsi"/>
          <w:color w:val="1C2024"/>
          <w:kern w:val="0"/>
          <w:sz w:val="24"/>
          <w:szCs w:val="24"/>
          <w:lang w:eastAsia="it-IT"/>
          <w14:ligatures w14:val="none"/>
        </w:rPr>
        <w:t xml:space="preserve">, ha l’obiettivo di migliorare le condizioni di vivibilità del territorio, investendo sulla rigenerazione urbana e sulla riqualificazione e manutenzione dell’esistente, evitando ulteriore consumo di suolo; costruire una città a misura d’uomo, che si prende cura delle persone e degli spazi, in senso relazionale oltre che funzionale. La seconda propone </w:t>
      </w:r>
      <w:r w:rsidRPr="00601E7F">
        <w:rPr>
          <w:rFonts w:eastAsia="Times New Roman" w:cstheme="minorHAnsi"/>
          <w:b/>
          <w:bCs/>
          <w:color w:val="1C2024"/>
          <w:kern w:val="0"/>
          <w:sz w:val="24"/>
          <w:szCs w:val="24"/>
          <w:lang w:eastAsia="it-IT"/>
          <w14:ligatures w14:val="none"/>
        </w:rPr>
        <w:t>un nuovo patto sociale che sostenga giovani e famiglie</w:t>
      </w:r>
      <w:r w:rsidRPr="00601E7F">
        <w:rPr>
          <w:rFonts w:eastAsia="Times New Roman" w:cstheme="minorHAnsi"/>
          <w:color w:val="1C2024"/>
          <w:kern w:val="0"/>
          <w:sz w:val="24"/>
          <w:szCs w:val="24"/>
          <w:lang w:eastAsia="it-IT"/>
          <w14:ligatures w14:val="none"/>
        </w:rPr>
        <w:t xml:space="preserve">, promuovendo il benessere delle persone, incentivando la partecipazione attiva dei cittadini e del mondo delle associazioni. La terza prevede la valorizzazione di </w:t>
      </w:r>
      <w:r w:rsidRPr="00601E7F">
        <w:rPr>
          <w:rFonts w:eastAsia="Times New Roman" w:cstheme="minorHAnsi"/>
          <w:b/>
          <w:bCs/>
          <w:color w:val="1C2024"/>
          <w:kern w:val="0"/>
          <w:sz w:val="24"/>
          <w:szCs w:val="24"/>
          <w:lang w:eastAsia="it-IT"/>
          <w14:ligatures w14:val="none"/>
        </w:rPr>
        <w:t xml:space="preserve">cultura e istruzione come fondamento della </w:t>
      </w:r>
      <w:r w:rsidRPr="00601E7F">
        <w:rPr>
          <w:rFonts w:eastAsia="Times New Roman" w:cstheme="minorHAnsi"/>
          <w:b/>
          <w:bCs/>
          <w:color w:val="1C2024"/>
          <w:kern w:val="0"/>
          <w:sz w:val="24"/>
          <w:szCs w:val="24"/>
          <w:lang w:eastAsia="it-IT"/>
          <w14:ligatures w14:val="none"/>
        </w:rPr>
        <w:lastRenderedPageBreak/>
        <w:t>comunità</w:t>
      </w:r>
      <w:r w:rsidRPr="00601E7F">
        <w:rPr>
          <w:rFonts w:eastAsia="Times New Roman" w:cstheme="minorHAnsi"/>
          <w:color w:val="1C2024"/>
          <w:kern w:val="0"/>
          <w:sz w:val="24"/>
          <w:szCs w:val="24"/>
          <w:lang w:eastAsia="it-IT"/>
          <w14:ligatures w14:val="none"/>
        </w:rPr>
        <w:t xml:space="preserve">, investendo sulla riqualificazione dell’edilizia scolastica, sui distretti </w:t>
      </w:r>
      <w:proofErr w:type="gramStart"/>
      <w:r w:rsidRPr="00601E7F">
        <w:rPr>
          <w:rFonts w:eastAsia="Times New Roman" w:cstheme="minorHAnsi"/>
          <w:color w:val="1C2024"/>
          <w:kern w:val="0"/>
          <w:sz w:val="24"/>
          <w:szCs w:val="24"/>
          <w:lang w:eastAsia="it-IT"/>
          <w14:ligatures w14:val="none"/>
        </w:rPr>
        <w:t>socio-culturali</w:t>
      </w:r>
      <w:proofErr w:type="gramEnd"/>
      <w:r w:rsidRPr="00601E7F">
        <w:rPr>
          <w:rFonts w:eastAsia="Times New Roman" w:cstheme="minorHAnsi"/>
          <w:color w:val="1C2024"/>
          <w:kern w:val="0"/>
          <w:sz w:val="24"/>
          <w:szCs w:val="24"/>
          <w:lang w:eastAsia="it-IT"/>
          <w14:ligatures w14:val="none"/>
        </w:rPr>
        <w:t xml:space="preserve"> </w:t>
      </w:r>
      <w:r w:rsidRPr="00601E7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 formativi e</w:t>
      </w:r>
      <w:r w:rsidRPr="00601E7F">
        <w:rPr>
          <w:rFonts w:eastAsia="Times New Roman" w:cstheme="minorHAnsi"/>
          <w:color w:val="1C2024"/>
          <w:kern w:val="0"/>
          <w:sz w:val="24"/>
          <w:szCs w:val="24"/>
          <w:lang w:eastAsia="it-IT"/>
          <w14:ligatures w14:val="none"/>
        </w:rPr>
        <w:t xml:space="preserve"> sulle grandi strutture sportive, e proponendo anche un modello di riqualificazione culturale dei quartieri </w:t>
      </w:r>
      <w:r w:rsidRPr="00601E7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che valorizzi </w:t>
      </w:r>
      <w:r w:rsidRPr="00601E7F">
        <w:rPr>
          <w:rFonts w:eastAsia="Times New Roman" w:cstheme="minorHAnsi"/>
          <w:color w:val="1C2024"/>
          <w:kern w:val="0"/>
          <w:sz w:val="24"/>
          <w:szCs w:val="24"/>
          <w:lang w:eastAsia="it-IT"/>
          <w14:ligatures w14:val="none"/>
        </w:rPr>
        <w:t xml:space="preserve">gli spazi comuni e </w:t>
      </w:r>
      <w:r w:rsidRPr="00601E7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contrasti </w:t>
      </w:r>
      <w:r w:rsidRPr="00601E7F">
        <w:rPr>
          <w:rFonts w:eastAsia="Times New Roman" w:cstheme="minorHAnsi"/>
          <w:color w:val="1C2024"/>
          <w:kern w:val="0"/>
          <w:sz w:val="24"/>
          <w:szCs w:val="24"/>
          <w:lang w:eastAsia="it-IT"/>
          <w14:ligatures w14:val="none"/>
        </w:rPr>
        <w:t xml:space="preserve">i fenomeni di degrado e disagio sociale. Infine, una </w:t>
      </w:r>
      <w:r w:rsidRPr="00601E7F">
        <w:rPr>
          <w:rFonts w:eastAsia="Times New Roman" w:cstheme="minorHAnsi"/>
          <w:b/>
          <w:bCs/>
          <w:color w:val="1C2024"/>
          <w:kern w:val="0"/>
          <w:sz w:val="24"/>
          <w:szCs w:val="24"/>
          <w:lang w:eastAsia="it-IT"/>
          <w14:ligatures w14:val="none"/>
        </w:rPr>
        <w:t>città che riduce le disuguaglianze</w:t>
      </w:r>
      <w:r w:rsidRPr="00601E7F">
        <w:rPr>
          <w:rFonts w:eastAsia="Times New Roman" w:cstheme="minorHAnsi"/>
          <w:color w:val="1C2024"/>
          <w:kern w:val="0"/>
          <w:sz w:val="24"/>
          <w:szCs w:val="24"/>
          <w:lang w:eastAsia="it-IT"/>
          <w14:ligatures w14:val="none"/>
        </w:rPr>
        <w:t>, per vincere la sfida dei diritti fondamentali, superando la condizione di povertà e disagio.</w:t>
      </w:r>
    </w:p>
    <w:p w14:paraId="33C458B4" w14:textId="77777777" w:rsidR="00601E7F" w:rsidRPr="00601E7F" w:rsidRDefault="00601E7F" w:rsidP="00601E7F">
      <w:pPr>
        <w:shd w:val="clear" w:color="auto" w:fill="FFFFFF"/>
        <w:spacing w:after="0" w:line="240" w:lineRule="auto"/>
        <w:rPr>
          <w:rFonts w:cstheme="minorHAnsi"/>
          <w:b/>
          <w:bCs/>
          <w:strike/>
          <w:color w:val="000000"/>
          <w:kern w:val="0"/>
          <w:sz w:val="24"/>
          <w:szCs w:val="24"/>
          <w:lang w:eastAsia="it-IT"/>
          <w14:ligatures w14:val="none"/>
        </w:rPr>
      </w:pPr>
    </w:p>
    <w:p w14:paraId="0E8BB6B4" w14:textId="77777777" w:rsidR="00601E7F" w:rsidRPr="00601E7F" w:rsidRDefault="00601E7F" w:rsidP="00601E7F">
      <w:pPr>
        <w:shd w:val="clear" w:color="auto" w:fill="FFFFFF"/>
        <w:spacing w:after="0" w:line="240" w:lineRule="auto"/>
        <w:rPr>
          <w:rFonts w:cstheme="minorHAnsi"/>
          <w:b/>
          <w:bCs/>
          <w:strike/>
          <w:color w:val="000000"/>
          <w:kern w:val="0"/>
          <w:sz w:val="24"/>
          <w:szCs w:val="24"/>
          <w:lang w:eastAsia="it-IT"/>
          <w14:ligatures w14:val="none"/>
        </w:rPr>
      </w:pPr>
    </w:p>
    <w:p w14:paraId="1579D74F" w14:textId="77777777" w:rsidR="00777E52" w:rsidRDefault="00777E52" w:rsidP="00415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777E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1005C"/>
    <w:multiLevelType w:val="hybridMultilevel"/>
    <w:tmpl w:val="02061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38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CD"/>
    <w:rsid w:val="000121B1"/>
    <w:rsid w:val="000200A0"/>
    <w:rsid w:val="00044870"/>
    <w:rsid w:val="000E2A42"/>
    <w:rsid w:val="00165CCD"/>
    <w:rsid w:val="001A3059"/>
    <w:rsid w:val="001C76BD"/>
    <w:rsid w:val="001E3C0D"/>
    <w:rsid w:val="00247EFE"/>
    <w:rsid w:val="002F10F3"/>
    <w:rsid w:val="00403B1B"/>
    <w:rsid w:val="004152A5"/>
    <w:rsid w:val="00445079"/>
    <w:rsid w:val="00575A64"/>
    <w:rsid w:val="00601E7F"/>
    <w:rsid w:val="0064434D"/>
    <w:rsid w:val="0072780C"/>
    <w:rsid w:val="00777E52"/>
    <w:rsid w:val="00792D37"/>
    <w:rsid w:val="007D35AC"/>
    <w:rsid w:val="00817D2D"/>
    <w:rsid w:val="00973F58"/>
    <w:rsid w:val="009C1AAD"/>
    <w:rsid w:val="009D67DA"/>
    <w:rsid w:val="009E0CE1"/>
    <w:rsid w:val="009E7232"/>
    <w:rsid w:val="009F3733"/>
    <w:rsid w:val="00AC0920"/>
    <w:rsid w:val="00B45989"/>
    <w:rsid w:val="00CB0B0C"/>
    <w:rsid w:val="00CF5421"/>
    <w:rsid w:val="00D35A85"/>
    <w:rsid w:val="00D62EDE"/>
    <w:rsid w:val="00E153BE"/>
    <w:rsid w:val="00E93155"/>
    <w:rsid w:val="00EC5750"/>
    <w:rsid w:val="00ED72FE"/>
    <w:rsid w:val="00EE5119"/>
    <w:rsid w:val="00F12230"/>
    <w:rsid w:val="00F4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A9DA"/>
  <w15:chartTrackingRefBased/>
  <w15:docId w15:val="{9D597B94-DAE4-4357-845D-51D5CBCC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65CCD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165CCD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47E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7EFE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247EFE"/>
    <w:pPr>
      <w:widowControl w:val="0"/>
      <w:autoSpaceDE w:val="0"/>
      <w:autoSpaceDN w:val="0"/>
      <w:spacing w:after="0" w:line="240" w:lineRule="auto"/>
      <w:ind w:left="836" w:right="104" w:hanging="361"/>
      <w:jc w:val="both"/>
    </w:pPr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727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3270</Characters>
  <Application>Microsoft Office Word</Application>
  <DocSecurity>4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Caputo Carmine</dc:creator>
  <cp:keywords/>
  <dc:description/>
  <cp:lastModifiedBy>Leoni Cinzia</cp:lastModifiedBy>
  <cp:revision>2</cp:revision>
  <dcterms:created xsi:type="dcterms:W3CDTF">2023-07-11T16:26:00Z</dcterms:created>
  <dcterms:modified xsi:type="dcterms:W3CDTF">2023-07-11T16:26:00Z</dcterms:modified>
</cp:coreProperties>
</file>